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CDE0" w14:textId="77777777" w:rsidR="007F5DD2" w:rsidRDefault="000B7760">
      <w:r>
        <w:rPr>
          <w:noProof/>
          <w:lang w:eastAsia="sl-SI"/>
        </w:rPr>
        <w:drawing>
          <wp:inline distT="0" distB="0" distL="0" distR="0" wp14:anchorId="1A7316D0" wp14:editId="4C3EF923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8B588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4A655A4C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7B491438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3D99A540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14BE88F7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2D45EB7B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6E67874D" w14:textId="2315CDBD" w:rsidR="00495BDE" w:rsidRPr="00F70DAF" w:rsidRDefault="00B8597B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</w:t>
            </w:r>
            <w:r w:rsidR="00102EDC">
              <w:rPr>
                <w:rFonts w:ascii="Arial" w:hAnsi="Arial" w:cs="Arial"/>
                <w:sz w:val="24"/>
                <w:szCs w:val="24"/>
              </w:rPr>
              <w:t>VZ</w:t>
            </w:r>
            <w:r w:rsidR="00CE53A8">
              <w:rPr>
                <w:rFonts w:ascii="Arial" w:hAnsi="Arial" w:cs="Arial"/>
                <w:sz w:val="24"/>
                <w:szCs w:val="24"/>
              </w:rPr>
              <w:t>12</w:t>
            </w:r>
            <w:r w:rsidR="00102EDC">
              <w:rPr>
                <w:rFonts w:ascii="Arial" w:hAnsi="Arial" w:cs="Arial"/>
                <w:sz w:val="24"/>
                <w:szCs w:val="24"/>
              </w:rPr>
              <w:t>S</w:t>
            </w:r>
            <w:r w:rsidR="00CF7FCE">
              <w:rPr>
                <w:rFonts w:ascii="Arial" w:hAnsi="Arial" w:cs="Arial"/>
                <w:sz w:val="24"/>
                <w:szCs w:val="24"/>
              </w:rPr>
              <w:t>KE / CU-</w:t>
            </w:r>
            <w:r w:rsidR="00102EDC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CE53A8">
              <w:rPr>
                <w:rFonts w:ascii="Arial" w:hAnsi="Arial" w:cs="Arial"/>
                <w:sz w:val="24"/>
                <w:szCs w:val="24"/>
              </w:rPr>
              <w:t>12</w:t>
            </w:r>
            <w:r w:rsidR="00102EDC">
              <w:rPr>
                <w:rFonts w:ascii="Arial" w:hAnsi="Arial" w:cs="Arial"/>
                <w:sz w:val="24"/>
                <w:szCs w:val="24"/>
              </w:rPr>
              <w:t>S</w:t>
            </w:r>
            <w:r w:rsidR="00B10498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18F13C95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6C992619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4A577A07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106770F3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9ADD207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1C5F55B3" w14:textId="01678402" w:rsidR="00495BDE" w:rsidRPr="00F70DAF" w:rsidRDefault="00102EDC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B8597B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CE53A8">
              <w:rPr>
                <w:rFonts w:ascii="Arial" w:hAnsi="Arial" w:cs="Arial"/>
                <w:sz w:val="24"/>
                <w:szCs w:val="24"/>
              </w:rPr>
              <w:t>50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6BF182BE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6B64C13D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13562C63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7392973F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2B319661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62DBAF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BE4CA3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 vpliv na globalno seg</w:t>
            </w:r>
            <w:r w:rsidR="00BE4CA3">
              <w:rPr>
                <w:rFonts w:ascii="Arial" w:hAnsi="Arial" w:cs="Arial"/>
                <w:sz w:val="24"/>
                <w:szCs w:val="24"/>
              </w:rPr>
              <w:t>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10E36955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59C1417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65F8B277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5BA051A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F4C9D25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39358848" w14:textId="5E2F5015" w:rsidR="00495BDE" w:rsidRPr="000B7760" w:rsidRDefault="00102E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F16E80">
              <w:rPr>
                <w:rFonts w:ascii="Arial" w:hAnsi="Arial" w:cs="Arial"/>
                <w:sz w:val="24"/>
                <w:szCs w:val="24"/>
              </w:rPr>
              <w:t>,</w:t>
            </w:r>
            <w:r w:rsidR="00CE53A8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03EEDCEE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5C629335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4CB62D26" w14:textId="3EE7BB5C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B8597B">
              <w:rPr>
                <w:rFonts w:ascii="Arial" w:hAnsi="Arial" w:cs="Arial"/>
                <w:sz w:val="24"/>
                <w:szCs w:val="24"/>
              </w:rPr>
              <w:t>+</w:t>
            </w:r>
            <w:r w:rsidR="00102ED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8C35616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7D9E4CEE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3CFA48B0" w14:textId="6206B45E" w:rsidR="00495BDE" w:rsidRPr="000B7760" w:rsidRDefault="00CE5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8597B">
              <w:rPr>
                <w:rFonts w:ascii="Arial" w:hAnsi="Arial" w:cs="Arial"/>
                <w:sz w:val="24"/>
                <w:szCs w:val="24"/>
              </w:rPr>
              <w:t>,</w:t>
            </w:r>
            <w:r w:rsidR="00102EDC">
              <w:rPr>
                <w:rFonts w:ascii="Arial" w:hAnsi="Arial" w:cs="Arial"/>
                <w:sz w:val="24"/>
                <w:szCs w:val="24"/>
              </w:rPr>
              <w:t>5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6EE5BCDA" w14:textId="77777777" w:rsidTr="000E7ECF">
        <w:trPr>
          <w:trHeight w:val="1170"/>
        </w:trPr>
        <w:tc>
          <w:tcPr>
            <w:tcW w:w="9212" w:type="dxa"/>
            <w:gridSpan w:val="3"/>
          </w:tcPr>
          <w:p w14:paraId="28CA7524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FCB62C" w14:textId="3853192D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CE53A8">
              <w:rPr>
                <w:rFonts w:ascii="Arial" w:hAnsi="Arial" w:cs="Arial"/>
                <w:sz w:val="24"/>
                <w:szCs w:val="24"/>
              </w:rPr>
              <w:t>122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061A0C89" w14:textId="77777777" w:rsidTr="00F70DAF">
        <w:trPr>
          <w:trHeight w:val="387"/>
        </w:trPr>
        <w:tc>
          <w:tcPr>
            <w:tcW w:w="4606" w:type="dxa"/>
          </w:tcPr>
          <w:p w14:paraId="7E8AF599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33FCD8E8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F5CC840" w14:textId="77777777" w:rsidTr="00F70DAF">
        <w:trPr>
          <w:trHeight w:val="421"/>
        </w:trPr>
        <w:tc>
          <w:tcPr>
            <w:tcW w:w="4606" w:type="dxa"/>
          </w:tcPr>
          <w:p w14:paraId="305F857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5B90DC35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1E134D81" w14:textId="77777777" w:rsidTr="00F70DAF">
        <w:trPr>
          <w:trHeight w:val="413"/>
        </w:trPr>
        <w:tc>
          <w:tcPr>
            <w:tcW w:w="4606" w:type="dxa"/>
          </w:tcPr>
          <w:p w14:paraId="057B27C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60B1BFAE" w14:textId="0178D7D4" w:rsidR="00495BDE" w:rsidRPr="000B7760" w:rsidRDefault="00CE5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B8597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29AC4CF6" w14:textId="77777777" w:rsidTr="00F70DAF">
        <w:trPr>
          <w:trHeight w:val="419"/>
        </w:trPr>
        <w:tc>
          <w:tcPr>
            <w:tcW w:w="4606" w:type="dxa"/>
          </w:tcPr>
          <w:p w14:paraId="659118CA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0A70EFCD" w14:textId="6953C7B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F16E80">
              <w:rPr>
                <w:rFonts w:ascii="Arial" w:hAnsi="Arial" w:cs="Arial"/>
                <w:sz w:val="24"/>
                <w:szCs w:val="24"/>
              </w:rPr>
              <w:t>+</w:t>
            </w:r>
            <w:r w:rsidR="00102EDC">
              <w:rPr>
                <w:rFonts w:ascii="Arial" w:hAnsi="Arial" w:cs="Arial"/>
                <w:sz w:val="24"/>
                <w:szCs w:val="24"/>
              </w:rPr>
              <w:t>++</w:t>
            </w:r>
          </w:p>
        </w:tc>
      </w:tr>
      <w:tr w:rsidR="00495BDE" w14:paraId="66BFE443" w14:textId="77777777" w:rsidTr="00F70DAF">
        <w:trPr>
          <w:trHeight w:val="411"/>
        </w:trPr>
        <w:tc>
          <w:tcPr>
            <w:tcW w:w="4606" w:type="dxa"/>
          </w:tcPr>
          <w:p w14:paraId="521149C4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7C47BA38" w14:textId="1932CAD6" w:rsidR="00495BDE" w:rsidRPr="000B7760" w:rsidRDefault="00CE5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8597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5F7864C0" w14:textId="77777777" w:rsidTr="000B7760">
        <w:trPr>
          <w:trHeight w:val="1160"/>
        </w:trPr>
        <w:tc>
          <w:tcPr>
            <w:tcW w:w="9212" w:type="dxa"/>
            <w:gridSpan w:val="3"/>
          </w:tcPr>
          <w:p w14:paraId="6AA4CA29" w14:textId="679BA967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CE53A8">
              <w:rPr>
                <w:rFonts w:ascii="Arial" w:hAnsi="Arial" w:cs="Arial"/>
                <w:sz w:val="24"/>
                <w:szCs w:val="24"/>
              </w:rPr>
              <w:t>995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4EEC6F58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28BDF52A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66854"/>
    <w:rsid w:val="000B7760"/>
    <w:rsid w:val="000E7ECF"/>
    <w:rsid w:val="00102EDC"/>
    <w:rsid w:val="00245709"/>
    <w:rsid w:val="002942CA"/>
    <w:rsid w:val="00303BED"/>
    <w:rsid w:val="0035759B"/>
    <w:rsid w:val="003A1147"/>
    <w:rsid w:val="00495BDE"/>
    <w:rsid w:val="00567B95"/>
    <w:rsid w:val="007F5DD2"/>
    <w:rsid w:val="008D50AB"/>
    <w:rsid w:val="00B10498"/>
    <w:rsid w:val="00B85571"/>
    <w:rsid w:val="00B8597B"/>
    <w:rsid w:val="00BE4CA3"/>
    <w:rsid w:val="00CA16E7"/>
    <w:rsid w:val="00CE53A8"/>
    <w:rsid w:val="00CF7FCE"/>
    <w:rsid w:val="00D1091D"/>
    <w:rsid w:val="00EF17D6"/>
    <w:rsid w:val="00EF3E6B"/>
    <w:rsid w:val="00F16E80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D8D5"/>
  <w15:docId w15:val="{F9E81A68-255D-4817-BB6C-D2CA1553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Malavašič Maruša</cp:lastModifiedBy>
  <cp:revision>2</cp:revision>
  <dcterms:created xsi:type="dcterms:W3CDTF">2024-04-09T10:00:00Z</dcterms:created>
  <dcterms:modified xsi:type="dcterms:W3CDTF">2024-04-09T10:00:00Z</dcterms:modified>
</cp:coreProperties>
</file>