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7928" w14:textId="77777777" w:rsidR="00B50307" w:rsidRPr="00B50307" w:rsidRDefault="00B50307" w:rsidP="00B5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16"/>
          <w:szCs w:val="16"/>
          <w:lang w:eastAsia="sl-SI"/>
        </w:rPr>
      </w:pPr>
      <w:r w:rsidRPr="00B50307">
        <w:rPr>
          <w:rFonts w:asciiTheme="majorHAnsi" w:eastAsia="Times New Roman" w:hAnsiTheme="majorHAnsi" w:cstheme="majorHAnsi"/>
          <w:sz w:val="16"/>
          <w:szCs w:val="16"/>
          <w:lang w:eastAsia="sl-SI"/>
        </w:rPr>
        <w:t xml:space="preserve">Velja za izdelke: model </w:t>
      </w:r>
      <w:proofErr w:type="spellStart"/>
      <w:r w:rsidRPr="00B50307">
        <w:rPr>
          <w:rFonts w:asciiTheme="majorHAnsi" w:eastAsia="Times New Roman" w:hAnsiTheme="majorHAnsi" w:cstheme="majorHAnsi"/>
          <w:sz w:val="16"/>
          <w:szCs w:val="16"/>
          <w:lang w:eastAsia="sl-SI"/>
        </w:rPr>
        <w:t>Fusion</w:t>
      </w:r>
      <w:proofErr w:type="spellEnd"/>
      <w:r w:rsidRPr="00B50307">
        <w:rPr>
          <w:rFonts w:asciiTheme="majorHAnsi" w:eastAsia="Times New Roman" w:hAnsiTheme="majorHAnsi" w:cstheme="majorHAnsi"/>
          <w:sz w:val="16"/>
          <w:szCs w:val="16"/>
          <w:lang w:eastAsia="sl-SI"/>
        </w:rPr>
        <w:t>, koda izdelka TBMFO</w:t>
      </w:r>
    </w:p>
    <w:p w14:paraId="3B680EE5" w14:textId="2348582A" w:rsidR="00B50307" w:rsidRPr="00B50307" w:rsidRDefault="00B50307" w:rsidP="00B5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heme="majorHAnsi" w:eastAsia="Times New Roman" w:hAnsiTheme="majorHAnsi" w:cstheme="majorHAnsi"/>
          <w:sz w:val="16"/>
          <w:szCs w:val="16"/>
          <w:lang w:eastAsia="sl-SI"/>
        </w:rPr>
      </w:pPr>
      <w:r w:rsidRPr="00B50307">
        <w:rPr>
          <w:rFonts w:asciiTheme="majorHAnsi" w:eastAsia="Times New Roman" w:hAnsiTheme="majorHAnsi" w:cstheme="majorHAnsi"/>
          <w:sz w:val="16"/>
          <w:szCs w:val="16"/>
          <w:lang w:eastAsia="sl-SI"/>
        </w:rPr>
        <w:t xml:space="preserve">Proizvedeno za: POLSTAR HOLDING sp. z </w:t>
      </w:r>
      <w:proofErr w:type="spellStart"/>
      <w:r w:rsidRPr="00B50307">
        <w:rPr>
          <w:rFonts w:asciiTheme="majorHAnsi" w:eastAsia="Times New Roman" w:hAnsiTheme="majorHAnsi" w:cstheme="majorHAnsi"/>
          <w:sz w:val="16"/>
          <w:szCs w:val="16"/>
          <w:lang w:eastAsia="sl-SI"/>
        </w:rPr>
        <w:t>o.o</w:t>
      </w:r>
      <w:proofErr w:type="spellEnd"/>
      <w:r w:rsidRPr="00B50307">
        <w:rPr>
          <w:rFonts w:asciiTheme="majorHAnsi" w:eastAsia="Times New Roman" w:hAnsiTheme="majorHAnsi" w:cstheme="majorHAnsi"/>
          <w:sz w:val="16"/>
          <w:szCs w:val="16"/>
          <w:lang w:eastAsia="sl-SI"/>
        </w:rPr>
        <w:t xml:space="preserve">. sp. k., ul. </w:t>
      </w:r>
      <w:proofErr w:type="spellStart"/>
      <w:r w:rsidRPr="00B50307">
        <w:rPr>
          <w:rFonts w:asciiTheme="majorHAnsi" w:eastAsia="Times New Roman" w:hAnsiTheme="majorHAnsi" w:cstheme="majorHAnsi"/>
          <w:sz w:val="16"/>
          <w:szCs w:val="16"/>
          <w:lang w:eastAsia="sl-SI"/>
        </w:rPr>
        <w:t>Modrzejewskiej</w:t>
      </w:r>
      <w:proofErr w:type="spellEnd"/>
      <w:r w:rsidRPr="00B50307">
        <w:rPr>
          <w:rFonts w:asciiTheme="majorHAnsi" w:eastAsia="Times New Roman" w:hAnsiTheme="majorHAnsi" w:cstheme="majorHAnsi"/>
          <w:sz w:val="16"/>
          <w:szCs w:val="16"/>
          <w:lang w:eastAsia="sl-SI"/>
        </w:rPr>
        <w:t xml:space="preserve"> 52, 75-734 </w:t>
      </w:r>
      <w:proofErr w:type="spellStart"/>
      <w:r w:rsidRPr="00B50307">
        <w:rPr>
          <w:rFonts w:asciiTheme="majorHAnsi" w:eastAsia="Times New Roman" w:hAnsiTheme="majorHAnsi" w:cstheme="majorHAnsi"/>
          <w:sz w:val="16"/>
          <w:szCs w:val="16"/>
          <w:lang w:eastAsia="sl-SI"/>
        </w:rPr>
        <w:t>Koszalin</w:t>
      </w:r>
      <w:proofErr w:type="spellEnd"/>
      <w:r w:rsidRPr="00B50307">
        <w:rPr>
          <w:rFonts w:asciiTheme="majorHAnsi" w:eastAsia="Times New Roman" w:hAnsiTheme="majorHAnsi" w:cstheme="majorHAnsi"/>
          <w:sz w:val="16"/>
          <w:szCs w:val="16"/>
          <w:lang w:eastAsia="sl-SI"/>
        </w:rPr>
        <w:t>, Poljska.</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 xml:space="preserve">Certifikacijski organ: INTERTEK </w:t>
      </w:r>
      <w:proofErr w:type="spellStart"/>
      <w:r w:rsidRPr="00B50307">
        <w:rPr>
          <w:rFonts w:asciiTheme="majorHAnsi" w:eastAsia="Times New Roman" w:hAnsiTheme="majorHAnsi" w:cstheme="majorHAnsi"/>
          <w:sz w:val="16"/>
          <w:szCs w:val="16"/>
          <w:lang w:eastAsia="sl-SI"/>
        </w:rPr>
        <w:t>Testing</w:t>
      </w:r>
      <w:proofErr w:type="spellEnd"/>
      <w:r w:rsidRPr="00B50307">
        <w:rPr>
          <w:rFonts w:asciiTheme="majorHAnsi" w:eastAsia="Times New Roman" w:hAnsiTheme="majorHAnsi" w:cstheme="majorHAnsi"/>
          <w:sz w:val="16"/>
          <w:szCs w:val="16"/>
          <w:lang w:eastAsia="sl-SI"/>
        </w:rPr>
        <w:t xml:space="preserve"> </w:t>
      </w:r>
      <w:proofErr w:type="spellStart"/>
      <w:r w:rsidRPr="00B50307">
        <w:rPr>
          <w:rFonts w:asciiTheme="majorHAnsi" w:eastAsia="Times New Roman" w:hAnsiTheme="majorHAnsi" w:cstheme="majorHAnsi"/>
          <w:sz w:val="16"/>
          <w:szCs w:val="16"/>
          <w:lang w:eastAsia="sl-SI"/>
        </w:rPr>
        <w:t>Services</w:t>
      </w:r>
      <w:proofErr w:type="spellEnd"/>
      <w:r w:rsidRPr="00B50307">
        <w:rPr>
          <w:rFonts w:asciiTheme="majorHAnsi" w:eastAsia="Times New Roman" w:hAnsiTheme="majorHAnsi" w:cstheme="majorHAnsi"/>
          <w:sz w:val="16"/>
          <w:szCs w:val="16"/>
          <w:lang w:eastAsia="sl-SI"/>
        </w:rPr>
        <w:t xml:space="preserve"> (</w:t>
      </w:r>
      <w:proofErr w:type="spellStart"/>
      <w:r w:rsidRPr="00B50307">
        <w:rPr>
          <w:rFonts w:asciiTheme="majorHAnsi" w:eastAsia="Times New Roman" w:hAnsiTheme="majorHAnsi" w:cstheme="majorHAnsi"/>
          <w:sz w:val="16"/>
          <w:szCs w:val="16"/>
          <w:lang w:eastAsia="sl-SI"/>
        </w:rPr>
        <w:t>Leicester</w:t>
      </w:r>
      <w:proofErr w:type="spellEnd"/>
      <w:r w:rsidRPr="00B50307">
        <w:rPr>
          <w:rFonts w:asciiTheme="majorHAnsi" w:eastAsia="Times New Roman" w:hAnsiTheme="majorHAnsi" w:cstheme="majorHAnsi"/>
          <w:sz w:val="16"/>
          <w:szCs w:val="16"/>
          <w:lang w:eastAsia="sl-SI"/>
        </w:rPr>
        <w:t xml:space="preserve">) </w:t>
      </w:r>
      <w:proofErr w:type="spellStart"/>
      <w:r w:rsidRPr="00B50307">
        <w:rPr>
          <w:rFonts w:asciiTheme="majorHAnsi" w:eastAsia="Times New Roman" w:hAnsiTheme="majorHAnsi" w:cstheme="majorHAnsi"/>
          <w:sz w:val="16"/>
          <w:szCs w:val="16"/>
          <w:lang w:eastAsia="sl-SI"/>
        </w:rPr>
        <w:t>Ltd</w:t>
      </w:r>
      <w:proofErr w:type="spellEnd"/>
      <w:r w:rsidRPr="00B50307">
        <w:rPr>
          <w:rFonts w:asciiTheme="majorHAnsi" w:eastAsia="Times New Roman" w:hAnsiTheme="majorHAnsi" w:cstheme="majorHAnsi"/>
          <w:sz w:val="16"/>
          <w:szCs w:val="16"/>
          <w:lang w:eastAsia="sl-SI"/>
        </w:rPr>
        <w:t>., Združeno kraljestvo (priglašeni organ 0362).</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Ti izdelki so razvrščeni kot osebna zaščitna oprema (PPE) po evropski UREDBI 2016/425 in dokazano so skladni s to direktivo prek evropskega standarda: EN ISO 20347 : 2012</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PRED UPORABO IZDELKA POZORNO PREBERITE TA NAVODILA</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Ta obutev je zasnovana tako, da zmanjša tveganje poškodb zaradi posebnih nevarnosti, kot jih določa oznaka na posameznem izdelku (glejte kode za označevanje spodaj). Vendar ne pozabite, da noben kos osebne zaščitne opreme ne more zagotoviti popolne zaščite, zato morate biti pri</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nošenju vedno previdni dejavnosti, povezane s tveganjem.</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ZMOGLJIVOST IN OMEJITVE UPORABE – Ti izdelki so bili preizkušeni v skladu z EN ISO 20347:2012 za vrste zaščite, ki so na izdelku opredeljene s kodami za označevanje, pojasnjenimi spodaj. Vedno pa se prepričajte, da je obutev primerna za predvideno končno uporabo.</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NAMESTITEV IN VELIKOST – Če želite nadeti in sleči izdelke, vedno popolnoma odvijte pritrdilne sisteme. Nosite samo obutev primerne velikosti. Preohlapni ali pretesni izdelki bodo ovirali gibanje in ne bodo zagotovili optimalne ravni zaščite. Velikost teh izdelkov je označena na njih.</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SHRANJEVANJE IN TRANSPORT – Ko obutve ne uporabljate, jo hranite v dobro prezračenem prostoru, stran od ekstremnih temperatur. Obutev nikoli ne shranjujte pod težkimi predmeti ali v stiku z ostrimi predmeti. Če je obutev mokra, pustite, da</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se posuši počasi in naravno stran od neposrednih virov toplote, preden jo odložite v skladišče.</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POPRAVILO – Če se obutev poškoduje, NE bo zagotovila optimalne ravni zaščite, zato jo je treba zamenjati takoj, ko je to izvedljivo. Nikoli zavestno ne nosite poškodovane obutve med izvajanjem dejavnosti, povezane s tveganjem.</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ČIŠČENJE – Redno čistite svojo obutev z visokokakovostnimi čistilnimi sredstvi, ki so priporočena kot primerna za ta namen. NIKOLI ne uporabljajte jedkih ali jedkih čistilnih sredstev.</w:t>
      </w:r>
      <w:r>
        <w:rPr>
          <w:rFonts w:asciiTheme="majorHAnsi" w:eastAsia="Times New Roman" w:hAnsiTheme="majorHAnsi" w:cstheme="majorHAnsi"/>
          <w:sz w:val="16"/>
          <w:szCs w:val="16"/>
          <w:lang w:eastAsia="sl-SI"/>
        </w:rPr>
        <w:t xml:space="preserve"> </w:t>
      </w:r>
      <w:r w:rsidRPr="00B50307">
        <w:rPr>
          <w:rStyle w:val="y2iqfc"/>
          <w:rFonts w:asciiTheme="majorHAnsi" w:hAnsiTheme="majorHAnsi" w:cstheme="majorHAnsi"/>
          <w:sz w:val="16"/>
          <w:szCs w:val="16"/>
        </w:rPr>
        <w:t xml:space="preserve">PROTIZDRASNOST – </w:t>
      </w:r>
      <w:proofErr w:type="spellStart"/>
      <w:r w:rsidRPr="00B50307">
        <w:rPr>
          <w:rStyle w:val="y2iqfc"/>
          <w:rFonts w:asciiTheme="majorHAnsi" w:hAnsiTheme="majorHAnsi" w:cstheme="majorHAnsi"/>
          <w:sz w:val="16"/>
          <w:szCs w:val="16"/>
        </w:rPr>
        <w:t>Protidrsnost</w:t>
      </w:r>
      <w:proofErr w:type="spellEnd"/>
      <w:r w:rsidRPr="00B50307">
        <w:rPr>
          <w:rStyle w:val="y2iqfc"/>
          <w:rFonts w:asciiTheme="majorHAnsi" w:hAnsiTheme="majorHAnsi" w:cstheme="majorHAnsi"/>
          <w:sz w:val="16"/>
          <w:szCs w:val="16"/>
        </w:rPr>
        <w:t xml:space="preserve"> na podlagi iz </w:t>
      </w:r>
      <w:proofErr w:type="spellStart"/>
      <w:r w:rsidRPr="00B50307">
        <w:rPr>
          <w:rStyle w:val="y2iqfc"/>
          <w:rFonts w:asciiTheme="majorHAnsi" w:hAnsiTheme="majorHAnsi" w:cstheme="majorHAnsi"/>
          <w:sz w:val="16"/>
          <w:szCs w:val="16"/>
        </w:rPr>
        <w:t>NaLS</w:t>
      </w:r>
      <w:proofErr w:type="spellEnd"/>
      <w:r w:rsidRPr="00B50307">
        <w:rPr>
          <w:rStyle w:val="y2iqfc"/>
          <w:rFonts w:asciiTheme="majorHAnsi" w:hAnsiTheme="majorHAnsi" w:cstheme="majorHAnsi"/>
          <w:sz w:val="16"/>
          <w:szCs w:val="16"/>
        </w:rPr>
        <w:t xml:space="preserve"> (SRA) keramične ploščice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DOBA OBRABE – Natančna življenjska doba izdelka bo v veliki meri odvisna od tega, kako in kje se nosi in zanj skrbi. Zato je zelo pomembno, da obutev pred uporabo natančno pregledate in zamenjate takoj, ko se zdi, da ni primerna za nošenje. Posebno pozornost je treba posvetiti stanju šivov zgornjega dela, obrabi vzorca tekalne plasti podplata in stanju povezave med zgornjim delom in podplatom.</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OZNAČEVANJE – Izdelek je označen z:</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EN ISO 20347:2012</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Neobvezne kategorije zaščite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HRO – zmes zunanjega podplata, odporna na vročino, testirana pri 300 </w:t>
      </w:r>
      <w:proofErr w:type="spellStart"/>
      <w:r w:rsidRPr="00B50307">
        <w:rPr>
          <w:rStyle w:val="y2iqfc"/>
          <w:rFonts w:asciiTheme="majorHAnsi" w:hAnsiTheme="majorHAnsi" w:cstheme="majorHAnsi"/>
          <w:sz w:val="16"/>
          <w:szCs w:val="16"/>
        </w:rPr>
        <w:t>oC</w:t>
      </w:r>
      <w:proofErr w:type="spellEnd"/>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P – Zunanji podplat, odporen na penetracijo, testiran pri 1100 </w:t>
      </w:r>
      <w:proofErr w:type="spellStart"/>
      <w:r w:rsidRPr="00B50307">
        <w:rPr>
          <w:rStyle w:val="y2iqfc"/>
          <w:rFonts w:asciiTheme="majorHAnsi" w:hAnsiTheme="majorHAnsi" w:cstheme="majorHAnsi"/>
          <w:sz w:val="16"/>
          <w:szCs w:val="16"/>
        </w:rPr>
        <w:t>newtonih</w:t>
      </w:r>
      <w:proofErr w:type="spellEnd"/>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A – električni upor med nogo in tlemi med 0,1 in 1000 </w:t>
      </w:r>
      <w:proofErr w:type="spellStart"/>
      <w:r w:rsidRPr="00B50307">
        <w:rPr>
          <w:rStyle w:val="y2iqfc"/>
          <w:rFonts w:asciiTheme="majorHAnsi" w:hAnsiTheme="majorHAnsi" w:cstheme="majorHAnsi"/>
          <w:sz w:val="16"/>
          <w:szCs w:val="16"/>
        </w:rPr>
        <w:t>mega</w:t>
      </w:r>
      <w:proofErr w:type="spellEnd"/>
      <w:r w:rsidRPr="00B50307">
        <w:rPr>
          <w:rStyle w:val="y2iqfc"/>
          <w:rFonts w:asciiTheme="majorHAnsi" w:hAnsiTheme="majorHAnsi" w:cstheme="majorHAnsi"/>
          <w:sz w:val="16"/>
          <w:szCs w:val="16"/>
        </w:rPr>
        <w:t xml:space="preserve"> </w:t>
      </w:r>
      <w:proofErr w:type="spellStart"/>
      <w:r w:rsidRPr="00B50307">
        <w:rPr>
          <w:rStyle w:val="y2iqfc"/>
          <w:rFonts w:asciiTheme="majorHAnsi" w:hAnsiTheme="majorHAnsi" w:cstheme="majorHAnsi"/>
          <w:sz w:val="16"/>
          <w:szCs w:val="16"/>
        </w:rPr>
        <w:t>ohmov</w:t>
      </w:r>
      <w:proofErr w:type="spellEnd"/>
      <w:r w:rsidRPr="00B50307">
        <w:rPr>
          <w:rStyle w:val="y2iqfc"/>
          <w:rFonts w:asciiTheme="majorHAnsi" w:hAnsiTheme="majorHAnsi" w:cstheme="majorHAnsi"/>
          <w:sz w:val="16"/>
          <w:szCs w:val="16"/>
        </w:rPr>
        <w:t xml:space="preserve"> *</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C - Električni upor med nogo in tlemi manj kot 0,1 </w:t>
      </w:r>
      <w:proofErr w:type="spellStart"/>
      <w:r w:rsidRPr="00B50307">
        <w:rPr>
          <w:rStyle w:val="y2iqfc"/>
          <w:rFonts w:asciiTheme="majorHAnsi" w:hAnsiTheme="majorHAnsi" w:cstheme="majorHAnsi"/>
          <w:sz w:val="16"/>
          <w:szCs w:val="16"/>
        </w:rPr>
        <w:t>mega</w:t>
      </w:r>
      <w:proofErr w:type="spellEnd"/>
      <w:r w:rsidRPr="00B50307">
        <w:rPr>
          <w:rStyle w:val="y2iqfc"/>
          <w:rFonts w:asciiTheme="majorHAnsi" w:hAnsiTheme="majorHAnsi" w:cstheme="majorHAnsi"/>
          <w:sz w:val="16"/>
          <w:szCs w:val="16"/>
        </w:rPr>
        <w:t xml:space="preserve"> </w:t>
      </w:r>
      <w:proofErr w:type="spellStart"/>
      <w:r w:rsidRPr="00B50307">
        <w:rPr>
          <w:rStyle w:val="y2iqfc"/>
          <w:rFonts w:asciiTheme="majorHAnsi" w:hAnsiTheme="majorHAnsi" w:cstheme="majorHAnsi"/>
          <w:sz w:val="16"/>
          <w:szCs w:val="16"/>
        </w:rPr>
        <w:t>ohmov</w:t>
      </w:r>
      <w:proofErr w:type="spellEnd"/>
      <w:r w:rsidRPr="00B50307">
        <w:rPr>
          <w:rStyle w:val="y2iqfc"/>
          <w:rFonts w:asciiTheme="majorHAnsi" w:hAnsiTheme="majorHAnsi" w:cstheme="majorHAnsi"/>
          <w:sz w:val="16"/>
          <w:szCs w:val="16"/>
        </w:rPr>
        <w:t xml:space="preserve"> *</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CI – Izolacija proti mrazu</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HI – toplotna izolacija</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E – Absorpcija energije predela sedeža, preizkušena pri 20 džulih</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WRU – Vodoodporno zgornje usnje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 Glejte dodatna navodila za uporabnika, kot je opredeljeno v EN ISO 20345</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Poleg tega obstajajo naslednje kratke kode za pogosto uporabljene kombinacije neobveznih kategorij zaščite: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O1 = Zgornji del iz materiala, ki ni vsa guma ali polimer + Zaprto območje sedeža + A + 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O1P = O1+P</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O2 = O1 + WRU</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O3 = O2 + P + nazobčani podplati</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*ANTISTATIČNA OBUTEV.</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Antistatično obutev je treba uporabiti, če je treba z odvajanjem elektrostatičnih nabojev čim bolj zmanjšati kopičenje elektrostatične naelektrenosti, s čimer se izognemo nevarnosti vžiga isker, na primer vnetljivih snovi in ​​hlapov, ter nevarnosti električnega udara zaradi katerega koli električnega aparata ali delov pod napetostjo. popolnoma odpraviti. Vedeti pa je treba, da antistatična obutev ne more zagotoviti ustrezne zaščite pred električnim udarom, saj ustvarja le upor med nogo in tlemi. Če nevarnost električnega udara ni popolnoma odpravljena, so nujni dodatni ukrepi za preprečevanje nevarnosti. Takšni ukrepi, kot tudi spodaj navedeni dodatni testi, bi morali biti rutinski del programa za preprečevanje nesreč na delovnem mestu.</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Izkušnje so pokazale, da mora imeti za antistatične namene električni upor na poti praznjenja skozi izdelek kadar koli v celotni življenjski dobi običajno manjši od 1000 M</w:t>
      </w:r>
      <w:r w:rsidRPr="00B50307">
        <w:rPr>
          <w:rStyle w:val="y2iqfc"/>
          <w:rFonts w:asciiTheme="majorHAnsi" w:hAnsiTheme="majorHAnsi" w:cstheme="majorHAnsi"/>
          <w:sz w:val="16"/>
          <w:szCs w:val="16"/>
        </w:rPr>
        <w:sym w:font="Symbol" w:char="F057"/>
      </w:r>
      <w:r w:rsidRPr="00B50307">
        <w:rPr>
          <w:rStyle w:val="y2iqfc"/>
          <w:rFonts w:asciiTheme="majorHAnsi" w:hAnsiTheme="majorHAnsi" w:cstheme="majorHAnsi"/>
          <w:sz w:val="16"/>
          <w:szCs w:val="16"/>
        </w:rPr>
        <w:t>. Vrednost 100K</w:t>
      </w:r>
      <w:r w:rsidRPr="00B50307">
        <w:rPr>
          <w:rStyle w:val="y2iqfc"/>
          <w:rFonts w:asciiTheme="majorHAnsi" w:hAnsiTheme="majorHAnsi" w:cstheme="majorHAnsi"/>
          <w:sz w:val="16"/>
          <w:szCs w:val="16"/>
        </w:rPr>
        <w:sym w:font="Symbol" w:char="F057"/>
      </w:r>
      <w:r w:rsidRPr="00B50307">
        <w:rPr>
          <w:rStyle w:val="y2iqfc"/>
          <w:rFonts w:asciiTheme="majorHAnsi" w:hAnsiTheme="majorHAnsi" w:cstheme="majorHAnsi"/>
          <w:sz w:val="16"/>
          <w:szCs w:val="16"/>
        </w:rPr>
        <w:t xml:space="preserve"> je določena kot najnižja meja odpornosti izdelka, ko je nov, da se zagotovi omejena zaščita pred nevarnim električnim udarom ali vžigom v primeru kakršne koli električne naprave.</w:t>
      </w:r>
      <w:r>
        <w:rPr>
          <w:rFonts w:asciiTheme="majorHAnsi" w:hAnsiTheme="majorHAnsi" w:cstheme="majorHAnsi"/>
          <w:sz w:val="16"/>
          <w:szCs w:val="16"/>
        </w:rPr>
        <w:t xml:space="preserve"> </w:t>
      </w:r>
      <w:r w:rsidRPr="00B50307">
        <w:rPr>
          <w:rStyle w:val="y2iqfc"/>
          <w:rFonts w:asciiTheme="majorHAnsi" w:hAnsiTheme="majorHAnsi" w:cstheme="majorHAnsi"/>
          <w:sz w:val="16"/>
          <w:szCs w:val="16"/>
        </w:rPr>
        <w:t>okvara pri delovanju pri napetostih do 250 V. Vendar se morajo uporabniki pod določenimi pogoji zavedati, da lahko obutev nudi neustrezno zaščito, zato je treba vedno sprejeti dodatne ukrepe za zaščito uporabnika.</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Električni upor te vrste obutve se lahko znatno spremeni zaradi upogibanja, kontaminacije ali vlage. Ta obutev ne bo opravljala predvidene funkcije, če jo nosite v mokrih razmerah. Zato je treba zagotoviti, da je izdelek sposoben izpolnjevati svojo načrtovano funkcijo pri odvajanju elektrostatičnega naboja in zagotavljati določeno zaščito v celotni življenjski dobi. Uporabniku priporočamo, da vzpostavi interni test električne upornosti in ga uporablja v rednih in pogostih intervalih.</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Če obutev nosite v mokrih razmerah, kjer se material podplata kontaminira, morajo uporabniki vedno preveriti električne lastnosti obutve, preden vstopijo v nevarno območje.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Kadar se uporablja antistatična obutev, mora biti odpornost talne površine tolikšna, da ne izniči zaščite, ki jo nudi obutev.</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Med uporabo se med notranji podplat obutve in stopalo uporabnika ne sme vstaviti nobenih izolacijskih elementov, razen običajne cevi. Če je med notranjim podplatom in nogo</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kakšen vložek, je treba kombinacijo obutve/vložka preveriti glede električnih lastnosti.</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Dodatne informacije so na voljo na zahtevo na:</w:t>
      </w:r>
    </w:p>
    <w:p w14:paraId="22103891"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POLSTAR HOLDING SP. Z O.O. SP.K.</w:t>
      </w:r>
    </w:p>
    <w:p w14:paraId="6356D031"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UL. MODRZEJEWSKIEJ 52</w:t>
      </w:r>
    </w:p>
    <w:p w14:paraId="147DC683"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75-734 KOSZALIN POLJSKA</w:t>
      </w:r>
    </w:p>
    <w:p w14:paraId="383559D8"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PH. 48 94 341 98 20</w:t>
      </w:r>
    </w:p>
    <w:p w14:paraId="71C48D88"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FAKS. 48 94 341 98 88</w:t>
      </w:r>
    </w:p>
    <w:p w14:paraId="1C7680FC" w14:textId="77777777" w:rsidR="00B50307" w:rsidRPr="00B50307" w:rsidRDefault="00B50307" w:rsidP="00B50307">
      <w:pPr>
        <w:pStyle w:val="HTML-oblikovano"/>
        <w:rPr>
          <w:rFonts w:asciiTheme="majorHAnsi" w:hAnsiTheme="majorHAnsi" w:cstheme="majorHAnsi"/>
          <w:sz w:val="16"/>
          <w:szCs w:val="16"/>
        </w:rPr>
      </w:pPr>
      <w:r w:rsidRPr="00B50307">
        <w:rPr>
          <w:rStyle w:val="y2iqfc"/>
          <w:rFonts w:asciiTheme="majorHAnsi" w:hAnsiTheme="majorHAnsi" w:cstheme="majorHAnsi"/>
          <w:sz w:val="16"/>
          <w:szCs w:val="16"/>
        </w:rPr>
        <w:t>www.polstar.com.pl</w:t>
      </w:r>
    </w:p>
    <w:p w14:paraId="0ACBF72C" w14:textId="54705AFF" w:rsidR="009736B3" w:rsidRDefault="009736B3" w:rsidP="00B50307">
      <w:pPr>
        <w:pStyle w:val="Default"/>
        <w:rPr>
          <w:rFonts w:asciiTheme="majorHAnsi" w:hAnsiTheme="majorHAnsi" w:cstheme="majorHAnsi"/>
          <w:sz w:val="16"/>
          <w:szCs w:val="16"/>
        </w:rPr>
      </w:pPr>
    </w:p>
    <w:p w14:paraId="77807F4C" w14:textId="77777777" w:rsidR="00B50307" w:rsidRPr="00B50307" w:rsidRDefault="00B50307" w:rsidP="00B5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16"/>
          <w:szCs w:val="16"/>
          <w:lang w:eastAsia="sl-SI"/>
        </w:rPr>
      </w:pPr>
      <w:r w:rsidRPr="00B50307">
        <w:rPr>
          <w:rFonts w:asciiTheme="majorHAnsi" w:eastAsia="Times New Roman" w:hAnsiTheme="majorHAnsi" w:cstheme="majorHAnsi"/>
          <w:sz w:val="16"/>
          <w:szCs w:val="16"/>
          <w:lang w:eastAsia="sl-SI"/>
        </w:rPr>
        <w:t xml:space="preserve">Velja za izdelke: model </w:t>
      </w:r>
      <w:proofErr w:type="spellStart"/>
      <w:r w:rsidRPr="00B50307">
        <w:rPr>
          <w:rFonts w:asciiTheme="majorHAnsi" w:eastAsia="Times New Roman" w:hAnsiTheme="majorHAnsi" w:cstheme="majorHAnsi"/>
          <w:sz w:val="16"/>
          <w:szCs w:val="16"/>
          <w:lang w:eastAsia="sl-SI"/>
        </w:rPr>
        <w:t>Fusion</w:t>
      </w:r>
      <w:proofErr w:type="spellEnd"/>
      <w:r w:rsidRPr="00B50307">
        <w:rPr>
          <w:rFonts w:asciiTheme="majorHAnsi" w:eastAsia="Times New Roman" w:hAnsiTheme="majorHAnsi" w:cstheme="majorHAnsi"/>
          <w:sz w:val="16"/>
          <w:szCs w:val="16"/>
          <w:lang w:eastAsia="sl-SI"/>
        </w:rPr>
        <w:t>, koda izdelka TBMFO</w:t>
      </w:r>
    </w:p>
    <w:p w14:paraId="17A07F52" w14:textId="77777777" w:rsidR="00B50307" w:rsidRPr="00B50307" w:rsidRDefault="00B50307" w:rsidP="00B5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heme="majorHAnsi" w:eastAsia="Times New Roman" w:hAnsiTheme="majorHAnsi" w:cstheme="majorHAnsi"/>
          <w:sz w:val="16"/>
          <w:szCs w:val="16"/>
          <w:lang w:eastAsia="sl-SI"/>
        </w:rPr>
      </w:pPr>
      <w:r w:rsidRPr="00B50307">
        <w:rPr>
          <w:rFonts w:asciiTheme="majorHAnsi" w:eastAsia="Times New Roman" w:hAnsiTheme="majorHAnsi" w:cstheme="majorHAnsi"/>
          <w:sz w:val="16"/>
          <w:szCs w:val="16"/>
          <w:lang w:eastAsia="sl-SI"/>
        </w:rPr>
        <w:t xml:space="preserve">Proizvedeno za: POLSTAR HOLDING sp. z </w:t>
      </w:r>
      <w:proofErr w:type="spellStart"/>
      <w:r w:rsidRPr="00B50307">
        <w:rPr>
          <w:rFonts w:asciiTheme="majorHAnsi" w:eastAsia="Times New Roman" w:hAnsiTheme="majorHAnsi" w:cstheme="majorHAnsi"/>
          <w:sz w:val="16"/>
          <w:szCs w:val="16"/>
          <w:lang w:eastAsia="sl-SI"/>
        </w:rPr>
        <w:t>o.o</w:t>
      </w:r>
      <w:proofErr w:type="spellEnd"/>
      <w:r w:rsidRPr="00B50307">
        <w:rPr>
          <w:rFonts w:asciiTheme="majorHAnsi" w:eastAsia="Times New Roman" w:hAnsiTheme="majorHAnsi" w:cstheme="majorHAnsi"/>
          <w:sz w:val="16"/>
          <w:szCs w:val="16"/>
          <w:lang w:eastAsia="sl-SI"/>
        </w:rPr>
        <w:t xml:space="preserve">. sp. k., ul. </w:t>
      </w:r>
      <w:proofErr w:type="spellStart"/>
      <w:r w:rsidRPr="00B50307">
        <w:rPr>
          <w:rFonts w:asciiTheme="majorHAnsi" w:eastAsia="Times New Roman" w:hAnsiTheme="majorHAnsi" w:cstheme="majorHAnsi"/>
          <w:sz w:val="16"/>
          <w:szCs w:val="16"/>
          <w:lang w:eastAsia="sl-SI"/>
        </w:rPr>
        <w:t>Modrzejewskiej</w:t>
      </w:r>
      <w:proofErr w:type="spellEnd"/>
      <w:r w:rsidRPr="00B50307">
        <w:rPr>
          <w:rFonts w:asciiTheme="majorHAnsi" w:eastAsia="Times New Roman" w:hAnsiTheme="majorHAnsi" w:cstheme="majorHAnsi"/>
          <w:sz w:val="16"/>
          <w:szCs w:val="16"/>
          <w:lang w:eastAsia="sl-SI"/>
        </w:rPr>
        <w:t xml:space="preserve"> 52, 75-734 </w:t>
      </w:r>
      <w:proofErr w:type="spellStart"/>
      <w:r w:rsidRPr="00B50307">
        <w:rPr>
          <w:rFonts w:asciiTheme="majorHAnsi" w:eastAsia="Times New Roman" w:hAnsiTheme="majorHAnsi" w:cstheme="majorHAnsi"/>
          <w:sz w:val="16"/>
          <w:szCs w:val="16"/>
          <w:lang w:eastAsia="sl-SI"/>
        </w:rPr>
        <w:t>Koszalin</w:t>
      </w:r>
      <w:proofErr w:type="spellEnd"/>
      <w:r w:rsidRPr="00B50307">
        <w:rPr>
          <w:rFonts w:asciiTheme="majorHAnsi" w:eastAsia="Times New Roman" w:hAnsiTheme="majorHAnsi" w:cstheme="majorHAnsi"/>
          <w:sz w:val="16"/>
          <w:szCs w:val="16"/>
          <w:lang w:eastAsia="sl-SI"/>
        </w:rPr>
        <w:t>, Poljska.</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 xml:space="preserve">Certifikacijski organ: INTERTEK </w:t>
      </w:r>
      <w:proofErr w:type="spellStart"/>
      <w:r w:rsidRPr="00B50307">
        <w:rPr>
          <w:rFonts w:asciiTheme="majorHAnsi" w:eastAsia="Times New Roman" w:hAnsiTheme="majorHAnsi" w:cstheme="majorHAnsi"/>
          <w:sz w:val="16"/>
          <w:szCs w:val="16"/>
          <w:lang w:eastAsia="sl-SI"/>
        </w:rPr>
        <w:t>Testing</w:t>
      </w:r>
      <w:proofErr w:type="spellEnd"/>
      <w:r w:rsidRPr="00B50307">
        <w:rPr>
          <w:rFonts w:asciiTheme="majorHAnsi" w:eastAsia="Times New Roman" w:hAnsiTheme="majorHAnsi" w:cstheme="majorHAnsi"/>
          <w:sz w:val="16"/>
          <w:szCs w:val="16"/>
          <w:lang w:eastAsia="sl-SI"/>
        </w:rPr>
        <w:t xml:space="preserve"> </w:t>
      </w:r>
      <w:proofErr w:type="spellStart"/>
      <w:r w:rsidRPr="00B50307">
        <w:rPr>
          <w:rFonts w:asciiTheme="majorHAnsi" w:eastAsia="Times New Roman" w:hAnsiTheme="majorHAnsi" w:cstheme="majorHAnsi"/>
          <w:sz w:val="16"/>
          <w:szCs w:val="16"/>
          <w:lang w:eastAsia="sl-SI"/>
        </w:rPr>
        <w:t>Services</w:t>
      </w:r>
      <w:proofErr w:type="spellEnd"/>
      <w:r w:rsidRPr="00B50307">
        <w:rPr>
          <w:rFonts w:asciiTheme="majorHAnsi" w:eastAsia="Times New Roman" w:hAnsiTheme="majorHAnsi" w:cstheme="majorHAnsi"/>
          <w:sz w:val="16"/>
          <w:szCs w:val="16"/>
          <w:lang w:eastAsia="sl-SI"/>
        </w:rPr>
        <w:t xml:space="preserve"> (</w:t>
      </w:r>
      <w:proofErr w:type="spellStart"/>
      <w:r w:rsidRPr="00B50307">
        <w:rPr>
          <w:rFonts w:asciiTheme="majorHAnsi" w:eastAsia="Times New Roman" w:hAnsiTheme="majorHAnsi" w:cstheme="majorHAnsi"/>
          <w:sz w:val="16"/>
          <w:szCs w:val="16"/>
          <w:lang w:eastAsia="sl-SI"/>
        </w:rPr>
        <w:t>Leicester</w:t>
      </w:r>
      <w:proofErr w:type="spellEnd"/>
      <w:r w:rsidRPr="00B50307">
        <w:rPr>
          <w:rFonts w:asciiTheme="majorHAnsi" w:eastAsia="Times New Roman" w:hAnsiTheme="majorHAnsi" w:cstheme="majorHAnsi"/>
          <w:sz w:val="16"/>
          <w:szCs w:val="16"/>
          <w:lang w:eastAsia="sl-SI"/>
        </w:rPr>
        <w:t xml:space="preserve">) </w:t>
      </w:r>
      <w:proofErr w:type="spellStart"/>
      <w:r w:rsidRPr="00B50307">
        <w:rPr>
          <w:rFonts w:asciiTheme="majorHAnsi" w:eastAsia="Times New Roman" w:hAnsiTheme="majorHAnsi" w:cstheme="majorHAnsi"/>
          <w:sz w:val="16"/>
          <w:szCs w:val="16"/>
          <w:lang w:eastAsia="sl-SI"/>
        </w:rPr>
        <w:t>Ltd</w:t>
      </w:r>
      <w:proofErr w:type="spellEnd"/>
      <w:r w:rsidRPr="00B50307">
        <w:rPr>
          <w:rFonts w:asciiTheme="majorHAnsi" w:eastAsia="Times New Roman" w:hAnsiTheme="majorHAnsi" w:cstheme="majorHAnsi"/>
          <w:sz w:val="16"/>
          <w:szCs w:val="16"/>
          <w:lang w:eastAsia="sl-SI"/>
        </w:rPr>
        <w:t>., Združeno kraljestvo (priglašeni organ 0362).</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Ti izdelki so razvrščeni kot osebna zaščitna oprema (PPE) po evropski UREDBI 2016/425 in dokazano so skladni s to direktivo prek evropskega standarda: EN ISO 20347 : 2012</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PRED UPORABO IZDELKA POZORNO PREBERITE TA NAVODILA</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Ta obutev je zasnovana tako, da zmanjša tveganje poškodb zaradi posebnih nevarnosti, kot jih določa oznaka na posameznem izdelku (glejte kode za označevanje spodaj). Vendar ne pozabite, da noben kos osebne zaščitne opreme ne more zagotoviti popolne zaščite, zato morate biti pri</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nošenju vedno previdni dejavnosti, povezane s tveganjem.</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ZMOGLJIVOST IN OMEJITVE UPORABE – Ti izdelki so bili preizkušeni v skladu z EN ISO 20347:2012 za vrste zaščite, ki so na izdelku opredeljene s kodami za označevanje, pojasnjenimi spodaj. Vedno pa se prepričajte, da je obutev primerna za predvideno končno uporabo.</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NAMESTITEV IN VELIKOST – Če želite nadeti in sleči izdelke, vedno popolnoma odvijte pritrdilne sisteme. Nosite samo obutev primerne velikosti. Preohlapni ali pretesni izdelki bodo ovirali gibanje in ne bodo zagotovili optimalne ravni zaščite. Velikost teh izdelkov je označena na njih.</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SHRANJEVANJE IN TRANSPORT – Ko obutve ne uporabljate, jo hranite v dobro prezračenem prostoru, stran od ekstremnih temperatur. Obutev nikoli ne shranjujte pod težkimi predmeti ali v stiku z ostrimi predmeti. Če je obutev mokra, pustite, da</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se posuši počasi in naravno stran od neposrednih virov toplote, preden jo odložite v skladišče.</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POPRAVILO – Če se obutev poškoduje, NE bo zagotovila optimalne ravni zaščite, zato jo je treba zamenjati takoj, ko je to izvedljivo. Nikoli zavestno ne nosite poškodovane obutve med izvajanjem dejavnosti, povezane s tveganjem.</w:t>
      </w:r>
      <w:r>
        <w:rPr>
          <w:rFonts w:asciiTheme="majorHAnsi" w:eastAsia="Times New Roman" w:hAnsiTheme="majorHAnsi" w:cstheme="majorHAnsi"/>
          <w:sz w:val="16"/>
          <w:szCs w:val="16"/>
          <w:lang w:eastAsia="sl-SI"/>
        </w:rPr>
        <w:t xml:space="preserve"> </w:t>
      </w:r>
      <w:r w:rsidRPr="00B50307">
        <w:rPr>
          <w:rFonts w:asciiTheme="majorHAnsi" w:eastAsia="Times New Roman" w:hAnsiTheme="majorHAnsi" w:cstheme="majorHAnsi"/>
          <w:sz w:val="16"/>
          <w:szCs w:val="16"/>
          <w:lang w:eastAsia="sl-SI"/>
        </w:rPr>
        <w:t>ČIŠČENJE – Redno čistite svojo obutev z visokokakovostnimi čistilnimi sredstvi, ki so priporočena kot primerna za ta namen. NIKOLI ne uporabljajte jedkih ali jedkih čistilnih sredstev.</w:t>
      </w:r>
      <w:r>
        <w:rPr>
          <w:rFonts w:asciiTheme="majorHAnsi" w:eastAsia="Times New Roman" w:hAnsiTheme="majorHAnsi" w:cstheme="majorHAnsi"/>
          <w:sz w:val="16"/>
          <w:szCs w:val="16"/>
          <w:lang w:eastAsia="sl-SI"/>
        </w:rPr>
        <w:t xml:space="preserve"> </w:t>
      </w:r>
      <w:r w:rsidRPr="00B50307">
        <w:rPr>
          <w:rStyle w:val="y2iqfc"/>
          <w:rFonts w:asciiTheme="majorHAnsi" w:hAnsiTheme="majorHAnsi" w:cstheme="majorHAnsi"/>
          <w:sz w:val="16"/>
          <w:szCs w:val="16"/>
        </w:rPr>
        <w:t xml:space="preserve">PROTIZDRASNOST – </w:t>
      </w:r>
      <w:proofErr w:type="spellStart"/>
      <w:r w:rsidRPr="00B50307">
        <w:rPr>
          <w:rStyle w:val="y2iqfc"/>
          <w:rFonts w:asciiTheme="majorHAnsi" w:hAnsiTheme="majorHAnsi" w:cstheme="majorHAnsi"/>
          <w:sz w:val="16"/>
          <w:szCs w:val="16"/>
        </w:rPr>
        <w:t>Protidrsnost</w:t>
      </w:r>
      <w:proofErr w:type="spellEnd"/>
      <w:r w:rsidRPr="00B50307">
        <w:rPr>
          <w:rStyle w:val="y2iqfc"/>
          <w:rFonts w:asciiTheme="majorHAnsi" w:hAnsiTheme="majorHAnsi" w:cstheme="majorHAnsi"/>
          <w:sz w:val="16"/>
          <w:szCs w:val="16"/>
        </w:rPr>
        <w:t xml:space="preserve"> na podlagi iz </w:t>
      </w:r>
      <w:proofErr w:type="spellStart"/>
      <w:r w:rsidRPr="00B50307">
        <w:rPr>
          <w:rStyle w:val="y2iqfc"/>
          <w:rFonts w:asciiTheme="majorHAnsi" w:hAnsiTheme="majorHAnsi" w:cstheme="majorHAnsi"/>
          <w:sz w:val="16"/>
          <w:szCs w:val="16"/>
        </w:rPr>
        <w:t>NaLS</w:t>
      </w:r>
      <w:proofErr w:type="spellEnd"/>
      <w:r w:rsidRPr="00B50307">
        <w:rPr>
          <w:rStyle w:val="y2iqfc"/>
          <w:rFonts w:asciiTheme="majorHAnsi" w:hAnsiTheme="majorHAnsi" w:cstheme="majorHAnsi"/>
          <w:sz w:val="16"/>
          <w:szCs w:val="16"/>
        </w:rPr>
        <w:t xml:space="preserve"> (SRA) keramične ploščice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DOBA OBRABE – Natančna življenjska doba izdelka bo v veliki meri odvisna od tega, kako in kje se nosi in zanj skrbi. Zato je zelo pomembno, da obutev pred uporabo natančno pregledate in zamenjate takoj, ko se zdi, da ni primerna za nošenje. Posebno pozornost je treba posvetiti stanju šivov zgornjega dela, obrabi vzorca tekalne plasti podplata in stanju povezave med zgornjim delom in podplatom.</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OZNAČEVANJE – Izdelek je označen z:</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EN ISO 20347:2012</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Neobvezne kategorije zaščite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HRO – zmes zunanjega podplata, odporna na vročino, testirana pri 300 </w:t>
      </w:r>
      <w:proofErr w:type="spellStart"/>
      <w:r w:rsidRPr="00B50307">
        <w:rPr>
          <w:rStyle w:val="y2iqfc"/>
          <w:rFonts w:asciiTheme="majorHAnsi" w:hAnsiTheme="majorHAnsi" w:cstheme="majorHAnsi"/>
          <w:sz w:val="16"/>
          <w:szCs w:val="16"/>
        </w:rPr>
        <w:t>oC</w:t>
      </w:r>
      <w:proofErr w:type="spellEnd"/>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P – Zunanji podplat, odporen na penetracijo, testiran pri 1100 </w:t>
      </w:r>
      <w:proofErr w:type="spellStart"/>
      <w:r w:rsidRPr="00B50307">
        <w:rPr>
          <w:rStyle w:val="y2iqfc"/>
          <w:rFonts w:asciiTheme="majorHAnsi" w:hAnsiTheme="majorHAnsi" w:cstheme="majorHAnsi"/>
          <w:sz w:val="16"/>
          <w:szCs w:val="16"/>
        </w:rPr>
        <w:t>newtonih</w:t>
      </w:r>
      <w:proofErr w:type="spellEnd"/>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A – električni upor med nogo in tlemi med 0,1 in 1000 </w:t>
      </w:r>
      <w:proofErr w:type="spellStart"/>
      <w:r w:rsidRPr="00B50307">
        <w:rPr>
          <w:rStyle w:val="y2iqfc"/>
          <w:rFonts w:asciiTheme="majorHAnsi" w:hAnsiTheme="majorHAnsi" w:cstheme="majorHAnsi"/>
          <w:sz w:val="16"/>
          <w:szCs w:val="16"/>
        </w:rPr>
        <w:t>mega</w:t>
      </w:r>
      <w:proofErr w:type="spellEnd"/>
      <w:r w:rsidRPr="00B50307">
        <w:rPr>
          <w:rStyle w:val="y2iqfc"/>
          <w:rFonts w:asciiTheme="majorHAnsi" w:hAnsiTheme="majorHAnsi" w:cstheme="majorHAnsi"/>
          <w:sz w:val="16"/>
          <w:szCs w:val="16"/>
        </w:rPr>
        <w:t xml:space="preserve"> </w:t>
      </w:r>
      <w:proofErr w:type="spellStart"/>
      <w:r w:rsidRPr="00B50307">
        <w:rPr>
          <w:rStyle w:val="y2iqfc"/>
          <w:rFonts w:asciiTheme="majorHAnsi" w:hAnsiTheme="majorHAnsi" w:cstheme="majorHAnsi"/>
          <w:sz w:val="16"/>
          <w:szCs w:val="16"/>
        </w:rPr>
        <w:t>ohmov</w:t>
      </w:r>
      <w:proofErr w:type="spellEnd"/>
      <w:r w:rsidRPr="00B50307">
        <w:rPr>
          <w:rStyle w:val="y2iqfc"/>
          <w:rFonts w:asciiTheme="majorHAnsi" w:hAnsiTheme="majorHAnsi" w:cstheme="majorHAnsi"/>
          <w:sz w:val="16"/>
          <w:szCs w:val="16"/>
        </w:rPr>
        <w:t xml:space="preserve"> *</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xml:space="preserve">C - Električni upor med nogo in tlemi manj kot 0,1 </w:t>
      </w:r>
      <w:proofErr w:type="spellStart"/>
      <w:r w:rsidRPr="00B50307">
        <w:rPr>
          <w:rStyle w:val="y2iqfc"/>
          <w:rFonts w:asciiTheme="majorHAnsi" w:hAnsiTheme="majorHAnsi" w:cstheme="majorHAnsi"/>
          <w:sz w:val="16"/>
          <w:szCs w:val="16"/>
        </w:rPr>
        <w:t>mega</w:t>
      </w:r>
      <w:proofErr w:type="spellEnd"/>
      <w:r w:rsidRPr="00B50307">
        <w:rPr>
          <w:rStyle w:val="y2iqfc"/>
          <w:rFonts w:asciiTheme="majorHAnsi" w:hAnsiTheme="majorHAnsi" w:cstheme="majorHAnsi"/>
          <w:sz w:val="16"/>
          <w:szCs w:val="16"/>
        </w:rPr>
        <w:t xml:space="preserve"> </w:t>
      </w:r>
      <w:proofErr w:type="spellStart"/>
      <w:r w:rsidRPr="00B50307">
        <w:rPr>
          <w:rStyle w:val="y2iqfc"/>
          <w:rFonts w:asciiTheme="majorHAnsi" w:hAnsiTheme="majorHAnsi" w:cstheme="majorHAnsi"/>
          <w:sz w:val="16"/>
          <w:szCs w:val="16"/>
        </w:rPr>
        <w:t>ohmov</w:t>
      </w:r>
      <w:proofErr w:type="spellEnd"/>
      <w:r w:rsidRPr="00B50307">
        <w:rPr>
          <w:rStyle w:val="y2iqfc"/>
          <w:rFonts w:asciiTheme="majorHAnsi" w:hAnsiTheme="majorHAnsi" w:cstheme="majorHAnsi"/>
          <w:sz w:val="16"/>
          <w:szCs w:val="16"/>
        </w:rPr>
        <w:t xml:space="preserve"> *</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CI – Izolacija proti mrazu</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HI – toplotna izolacija</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E – Absorpcija energije predela sedeža, preizkušena pri 20 džulih</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WRU – Vodoodporno zgornje usnje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 - Glejte dodatna navodila za uporabnika, kot je opredeljeno v EN ISO 20345</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Poleg tega obstajajo naslednje kratke kode za pogosto uporabljene kombinacije neobveznih kategorij zaščite: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O1 = Zgornji del iz materiala, ki ni vsa guma ali polimer + Zaprto območje sedeža + A + 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O1P = O1+P</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O2 = O1 + WRU</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O3 = O2 + P + nazobčani podplati</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*ANTISTATIČNA OBUTEV.</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Antistatično obutev je treba uporabiti, če je treba z odvajanjem elektrostatičnih nabojev čim bolj zmanjšati kopičenje elektrostatične naelektrenosti, s čimer se izognemo nevarnosti vžiga isker, na primer vnetljivih snovi in ​​hlapov, ter nevarnosti električnega udara zaradi katerega koli električnega aparata ali delov pod napetostjo. popolnoma odpraviti. Vedeti pa je treba, da antistatična obutev ne more zagotoviti ustrezne zaščite pred električnim udarom, saj ustvarja le upor med nogo in tlemi. Če nevarnost električnega udara ni popolnoma odpravljena, so nujni dodatni ukrepi za preprečevanje nevarnosti. Takšni ukrepi, kot tudi spodaj navedeni dodatni testi, bi morali biti rutinski del programa za preprečevanje nesreč na delovnem mestu.</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Izkušnje so pokazale, da mora imeti za antistatične namene električni upor na poti praznjenja skozi izdelek kadar koli v celotni življenjski dobi običajno manjši od 1000 M</w:t>
      </w:r>
      <w:r w:rsidRPr="00B50307">
        <w:rPr>
          <w:rStyle w:val="y2iqfc"/>
          <w:rFonts w:asciiTheme="majorHAnsi" w:hAnsiTheme="majorHAnsi" w:cstheme="majorHAnsi"/>
          <w:sz w:val="16"/>
          <w:szCs w:val="16"/>
        </w:rPr>
        <w:sym w:font="Symbol" w:char="F057"/>
      </w:r>
      <w:r w:rsidRPr="00B50307">
        <w:rPr>
          <w:rStyle w:val="y2iqfc"/>
          <w:rFonts w:asciiTheme="majorHAnsi" w:hAnsiTheme="majorHAnsi" w:cstheme="majorHAnsi"/>
          <w:sz w:val="16"/>
          <w:szCs w:val="16"/>
        </w:rPr>
        <w:t>. Vrednost 100K</w:t>
      </w:r>
      <w:r w:rsidRPr="00B50307">
        <w:rPr>
          <w:rStyle w:val="y2iqfc"/>
          <w:rFonts w:asciiTheme="majorHAnsi" w:hAnsiTheme="majorHAnsi" w:cstheme="majorHAnsi"/>
          <w:sz w:val="16"/>
          <w:szCs w:val="16"/>
        </w:rPr>
        <w:sym w:font="Symbol" w:char="F057"/>
      </w:r>
      <w:r w:rsidRPr="00B50307">
        <w:rPr>
          <w:rStyle w:val="y2iqfc"/>
          <w:rFonts w:asciiTheme="majorHAnsi" w:hAnsiTheme="majorHAnsi" w:cstheme="majorHAnsi"/>
          <w:sz w:val="16"/>
          <w:szCs w:val="16"/>
        </w:rPr>
        <w:t xml:space="preserve"> je določena kot najnižja meja odpornosti izdelka, ko je nov, da se zagotovi omejena zaščita pred nevarnim električnim udarom ali vžigom v primeru kakršne koli električne naprave.</w:t>
      </w:r>
      <w:r>
        <w:rPr>
          <w:rFonts w:asciiTheme="majorHAnsi" w:hAnsiTheme="majorHAnsi" w:cstheme="majorHAnsi"/>
          <w:sz w:val="16"/>
          <w:szCs w:val="16"/>
        </w:rPr>
        <w:t xml:space="preserve"> </w:t>
      </w:r>
      <w:r w:rsidRPr="00B50307">
        <w:rPr>
          <w:rStyle w:val="y2iqfc"/>
          <w:rFonts w:asciiTheme="majorHAnsi" w:hAnsiTheme="majorHAnsi" w:cstheme="majorHAnsi"/>
          <w:sz w:val="16"/>
          <w:szCs w:val="16"/>
        </w:rPr>
        <w:t>okvara pri delovanju pri napetostih do 250 V. Vendar se morajo uporabniki pod določenimi pogoji zavedati, da lahko obutev nudi neustrezno zaščito, zato je treba vedno sprejeti dodatne ukrepe za zaščito uporabnika.</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Električni upor te vrste obutve se lahko znatno spremeni zaradi upogibanja, kontaminacije ali vlage. Ta obutev ne bo opravljala predvidene funkcije, če jo nosite v mokrih razmerah. Zato je treba zagotoviti, da je izdelek sposoben izpolnjevati svojo načrtovano funkcijo pri odvajanju elektrostatičnega naboja in zagotavljati določeno zaščito v celotni življenjski dobi. Uporabniku priporočamo, da vzpostavi interni test električne upornosti in ga uporablja v rednih in pogostih intervalih.</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Če obutev nosite v mokrih razmerah, kjer se material podplata kontaminira, morajo uporabniki vedno preveriti električne lastnosti obutve, preden vstopijo v nevarno območje.</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Kadar se uporablja antistatična obutev, mora biti odpornost talne površine tolikšna, da ne izniči zaščite, ki jo nudi obutev.</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Med uporabo se med notranji podplat obutve in stopalo uporabnika ne sme vstaviti nobenih izolacijskih elementov, razen običajne cevi. Če je med notranjim podplatom in nogo</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kakšen vložek, je treba kombinacijo obutve/vložka preveriti glede električnih lastnosti.</w:t>
      </w:r>
      <w:r>
        <w:rPr>
          <w:rStyle w:val="y2iqfc"/>
          <w:rFonts w:asciiTheme="majorHAnsi" w:hAnsiTheme="majorHAnsi" w:cstheme="majorHAnsi"/>
          <w:sz w:val="16"/>
          <w:szCs w:val="16"/>
        </w:rPr>
        <w:t xml:space="preserve"> </w:t>
      </w:r>
      <w:r w:rsidRPr="00B50307">
        <w:rPr>
          <w:rStyle w:val="y2iqfc"/>
          <w:rFonts w:asciiTheme="majorHAnsi" w:hAnsiTheme="majorHAnsi" w:cstheme="majorHAnsi"/>
          <w:sz w:val="16"/>
          <w:szCs w:val="16"/>
        </w:rPr>
        <w:t>Dodatne informacije so na voljo na zahtevo na:</w:t>
      </w:r>
    </w:p>
    <w:p w14:paraId="0341383F"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POLSTAR HOLDING SP. Z O.O. SP.K.</w:t>
      </w:r>
    </w:p>
    <w:p w14:paraId="781778FD"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UL. MODRZEJEWSKIEJ 52</w:t>
      </w:r>
    </w:p>
    <w:p w14:paraId="37897348"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75-734 KOSZALIN POLJSKA</w:t>
      </w:r>
    </w:p>
    <w:p w14:paraId="2F1854D1"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PH. 48 94 341 98 20</w:t>
      </w:r>
    </w:p>
    <w:p w14:paraId="537AB097" w14:textId="77777777" w:rsidR="00B50307" w:rsidRPr="00B50307" w:rsidRDefault="00B50307" w:rsidP="00B50307">
      <w:pPr>
        <w:pStyle w:val="HTML-oblikovano"/>
        <w:rPr>
          <w:rStyle w:val="y2iqfc"/>
          <w:rFonts w:asciiTheme="majorHAnsi" w:hAnsiTheme="majorHAnsi" w:cstheme="majorHAnsi"/>
          <w:sz w:val="16"/>
          <w:szCs w:val="16"/>
        </w:rPr>
      </w:pPr>
      <w:r w:rsidRPr="00B50307">
        <w:rPr>
          <w:rStyle w:val="y2iqfc"/>
          <w:rFonts w:asciiTheme="majorHAnsi" w:hAnsiTheme="majorHAnsi" w:cstheme="majorHAnsi"/>
          <w:sz w:val="16"/>
          <w:szCs w:val="16"/>
        </w:rPr>
        <w:t>FAKS. 48 94 341 98 88</w:t>
      </w:r>
    </w:p>
    <w:p w14:paraId="24D56274" w14:textId="77777777" w:rsidR="00B50307" w:rsidRPr="00B50307" w:rsidRDefault="00B50307" w:rsidP="00B50307">
      <w:pPr>
        <w:pStyle w:val="HTML-oblikovano"/>
        <w:rPr>
          <w:rFonts w:asciiTheme="majorHAnsi" w:hAnsiTheme="majorHAnsi" w:cstheme="majorHAnsi"/>
          <w:sz w:val="16"/>
          <w:szCs w:val="16"/>
        </w:rPr>
      </w:pPr>
      <w:r w:rsidRPr="00B50307">
        <w:rPr>
          <w:rStyle w:val="y2iqfc"/>
          <w:rFonts w:asciiTheme="majorHAnsi" w:hAnsiTheme="majorHAnsi" w:cstheme="majorHAnsi"/>
          <w:sz w:val="16"/>
          <w:szCs w:val="16"/>
        </w:rPr>
        <w:t>www.polstar.com.pl</w:t>
      </w:r>
    </w:p>
    <w:p w14:paraId="292ECE90" w14:textId="77777777" w:rsidR="00B50307" w:rsidRPr="00B50307" w:rsidRDefault="00B50307" w:rsidP="00B50307">
      <w:pPr>
        <w:pStyle w:val="Default"/>
        <w:rPr>
          <w:rFonts w:asciiTheme="majorHAnsi" w:hAnsiTheme="majorHAnsi" w:cstheme="majorHAnsi"/>
          <w:sz w:val="16"/>
          <w:szCs w:val="16"/>
        </w:rPr>
      </w:pPr>
    </w:p>
    <w:p w14:paraId="755FCE76" w14:textId="77777777" w:rsidR="00B50307" w:rsidRPr="00B50307" w:rsidRDefault="00B50307" w:rsidP="00B50307">
      <w:pPr>
        <w:pStyle w:val="Default"/>
        <w:rPr>
          <w:rFonts w:asciiTheme="majorHAnsi" w:hAnsiTheme="majorHAnsi" w:cstheme="majorHAnsi"/>
          <w:sz w:val="16"/>
          <w:szCs w:val="16"/>
        </w:rPr>
      </w:pPr>
    </w:p>
    <w:sectPr w:rsidR="00B50307" w:rsidRPr="00B50307" w:rsidSect="00B5030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07"/>
    <w:rsid w:val="009736B3"/>
    <w:rsid w:val="00B50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229"/>
  <w15:chartTrackingRefBased/>
  <w15:docId w15:val="{866BC268-07FE-4F2C-BE6D-30230F12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307"/>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50307"/>
    <w:pPr>
      <w:autoSpaceDE w:val="0"/>
      <w:autoSpaceDN w:val="0"/>
      <w:adjustRightInd w:val="0"/>
      <w:spacing w:after="0" w:line="240" w:lineRule="auto"/>
    </w:pPr>
    <w:rPr>
      <w:rFonts w:ascii="Times New Roman" w:hAnsi="Times New Roman" w:cs="Times New Roman"/>
      <w:color w:val="000000"/>
      <w:sz w:val="24"/>
      <w:szCs w:val="24"/>
    </w:rPr>
  </w:style>
  <w:style w:type="paragraph" w:styleId="HTML-oblikovano">
    <w:name w:val="HTML Preformatted"/>
    <w:basedOn w:val="Navaden"/>
    <w:link w:val="HTML-oblikovanoZnak"/>
    <w:uiPriority w:val="99"/>
    <w:semiHidden/>
    <w:unhideWhenUsed/>
    <w:rsid w:val="00B5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B50307"/>
    <w:rPr>
      <w:rFonts w:ascii="Courier New" w:eastAsia="Times New Roman" w:hAnsi="Courier New" w:cs="Courier New"/>
      <w:sz w:val="20"/>
      <w:szCs w:val="20"/>
      <w:lang w:eastAsia="sl-SI"/>
    </w:rPr>
  </w:style>
  <w:style w:type="character" w:customStyle="1" w:styleId="y2iqfc">
    <w:name w:val="y2iqfc"/>
    <w:basedOn w:val="Privzetapisavaodstavka"/>
    <w:rsid w:val="00B5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6527">
      <w:bodyDiv w:val="1"/>
      <w:marLeft w:val="0"/>
      <w:marRight w:val="0"/>
      <w:marTop w:val="0"/>
      <w:marBottom w:val="0"/>
      <w:divBdr>
        <w:top w:val="none" w:sz="0" w:space="0" w:color="auto"/>
        <w:left w:val="none" w:sz="0" w:space="0" w:color="auto"/>
        <w:bottom w:val="none" w:sz="0" w:space="0" w:color="auto"/>
        <w:right w:val="none" w:sz="0" w:space="0" w:color="auto"/>
      </w:divBdr>
      <w:divsChild>
        <w:div w:id="2039692683">
          <w:marLeft w:val="0"/>
          <w:marRight w:val="0"/>
          <w:marTop w:val="0"/>
          <w:marBottom w:val="0"/>
          <w:divBdr>
            <w:top w:val="none" w:sz="0" w:space="0" w:color="auto"/>
            <w:left w:val="none" w:sz="0" w:space="0" w:color="auto"/>
            <w:bottom w:val="none" w:sz="0" w:space="0" w:color="auto"/>
            <w:right w:val="none" w:sz="0" w:space="0" w:color="auto"/>
          </w:divBdr>
        </w:div>
      </w:divsChild>
    </w:div>
    <w:div w:id="402797510">
      <w:bodyDiv w:val="1"/>
      <w:marLeft w:val="0"/>
      <w:marRight w:val="0"/>
      <w:marTop w:val="0"/>
      <w:marBottom w:val="0"/>
      <w:divBdr>
        <w:top w:val="none" w:sz="0" w:space="0" w:color="auto"/>
        <w:left w:val="none" w:sz="0" w:space="0" w:color="auto"/>
        <w:bottom w:val="none" w:sz="0" w:space="0" w:color="auto"/>
        <w:right w:val="none" w:sz="0" w:space="0" w:color="auto"/>
      </w:divBdr>
    </w:div>
    <w:div w:id="825166167">
      <w:bodyDiv w:val="1"/>
      <w:marLeft w:val="0"/>
      <w:marRight w:val="0"/>
      <w:marTop w:val="0"/>
      <w:marBottom w:val="0"/>
      <w:divBdr>
        <w:top w:val="none" w:sz="0" w:space="0" w:color="auto"/>
        <w:left w:val="none" w:sz="0" w:space="0" w:color="auto"/>
        <w:bottom w:val="none" w:sz="0" w:space="0" w:color="auto"/>
        <w:right w:val="none" w:sz="0" w:space="0" w:color="auto"/>
      </w:divBdr>
      <w:divsChild>
        <w:div w:id="769550505">
          <w:marLeft w:val="0"/>
          <w:marRight w:val="0"/>
          <w:marTop w:val="0"/>
          <w:marBottom w:val="0"/>
          <w:divBdr>
            <w:top w:val="none" w:sz="0" w:space="0" w:color="auto"/>
            <w:left w:val="none" w:sz="0" w:space="0" w:color="auto"/>
            <w:bottom w:val="none" w:sz="0" w:space="0" w:color="auto"/>
            <w:right w:val="none" w:sz="0" w:space="0" w:color="auto"/>
          </w:divBdr>
        </w:div>
      </w:divsChild>
    </w:div>
    <w:div w:id="1448311068">
      <w:bodyDiv w:val="1"/>
      <w:marLeft w:val="0"/>
      <w:marRight w:val="0"/>
      <w:marTop w:val="0"/>
      <w:marBottom w:val="0"/>
      <w:divBdr>
        <w:top w:val="none" w:sz="0" w:space="0" w:color="auto"/>
        <w:left w:val="none" w:sz="0" w:space="0" w:color="auto"/>
        <w:bottom w:val="none" w:sz="0" w:space="0" w:color="auto"/>
        <w:right w:val="none" w:sz="0" w:space="0" w:color="auto"/>
      </w:divBdr>
      <w:divsChild>
        <w:div w:id="9970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skraba</dc:creator>
  <cp:keywords/>
  <dc:description/>
  <cp:lastModifiedBy>ana skraba</cp:lastModifiedBy>
  <cp:revision>1</cp:revision>
  <dcterms:created xsi:type="dcterms:W3CDTF">2023-03-29T09:42:00Z</dcterms:created>
  <dcterms:modified xsi:type="dcterms:W3CDTF">2023-03-29T09:47:00Z</dcterms:modified>
</cp:coreProperties>
</file>